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5238" w14:textId="7E5D1130" w:rsidR="00EE78D6" w:rsidRPr="00EE78D6" w:rsidRDefault="006C6DDF" w:rsidP="00526483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BP009 Bachelor of Business</w:t>
      </w:r>
      <w:r w:rsidR="00EE78D6" w:rsidRPr="006C6DD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="00EE78D6" w:rsidRPr="007C315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E78D6" w:rsidRPr="008C6531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14:paraId="05591260" w14:textId="77777777" w:rsidR="00EE78D6" w:rsidRDefault="00EE78D6" w:rsidP="006E23DC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="00F37597" w:rsidRPr="00EE78D6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14:paraId="4522B328" w14:textId="77777777" w:rsidR="00EE78D6" w:rsidRDefault="00346DA1" w:rsidP="006E23DC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="006E23DC" w:rsidRPr="008B159E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="006E23DC" w:rsidRPr="008368FE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14:paraId="5F3FEDE8" w14:textId="577EC82C" w:rsidR="00EE78D6" w:rsidRPr="00DE15B8" w:rsidRDefault="006E23DC" w:rsidP="006E23DC">
      <w:pPr>
        <w:pStyle w:val="Heading2"/>
        <w:spacing w:line="244" w:lineRule="exact"/>
        <w:rPr>
          <w:b/>
          <w:bCs/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="00DC0780" w:rsidRPr="006C6DDF">
        <w:t xml:space="preserve">– </w:t>
      </w:r>
      <w:r w:rsidR="00D64491" w:rsidRPr="00DE15B8">
        <w:rPr>
          <w:b/>
          <w:bCs/>
        </w:rPr>
        <w:t>Global Business</w:t>
      </w:r>
    </w:p>
    <w:p w14:paraId="3296B818" w14:textId="536963BC" w:rsidR="00DC0780" w:rsidRDefault="006E23DC" w:rsidP="006E23DC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14:paraId="5B215040" w14:textId="77777777" w:rsidR="00232219" w:rsidRDefault="00232219" w:rsidP="006E23DC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14:paraId="281097CB" w14:textId="77777777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151DA3" w14:paraId="2BD4348D" w14:textId="77777777" w:rsidTr="00F15414">
        <w:trPr>
          <w:cantSplit/>
          <w:trHeight w:val="735"/>
        </w:trPr>
        <w:tc>
          <w:tcPr>
            <w:tcW w:w="400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F9C19D8" w14:textId="77777777" w:rsidR="00151DA3" w:rsidRPr="00526483" w:rsidRDefault="00151DA3" w:rsidP="00151DA3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14:paraId="429837CE" w14:textId="77777777" w:rsidR="00151DA3" w:rsidRPr="002B7812" w:rsidRDefault="00151DA3" w:rsidP="00151DA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4A1A67C" w14:textId="77777777" w:rsidR="00151DA3" w:rsidRPr="002B7812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5319251" w14:textId="77777777" w:rsidR="00151DA3" w:rsidRPr="0007480E" w:rsidRDefault="00151DA3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MGMT1136</w:t>
            </w:r>
          </w:p>
          <w:p w14:paraId="591B8BF3" w14:textId="09C73400" w:rsidR="00151DA3" w:rsidRPr="00E114B8" w:rsidRDefault="00151DA3" w:rsidP="00151DA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and Organisations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7945724" w14:textId="77777777" w:rsidR="00F15414" w:rsidRPr="0007480E" w:rsidRDefault="00F15414" w:rsidP="00F154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ACCT1100</w:t>
            </w:r>
          </w:p>
          <w:p w14:paraId="4D2E88FE" w14:textId="30DFCB88" w:rsidR="00151DA3" w:rsidRPr="0007480E" w:rsidRDefault="00F15414" w:rsidP="00F1541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 Reporting and Analysis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83708F4" w14:textId="3E8A90C1" w:rsidR="00151DA3" w:rsidRPr="0007480E" w:rsidRDefault="00F15414" w:rsidP="00151DA3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19DBFCE" w14:textId="43EC4EB1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151DA3" w14:paraId="58B8CE72" w14:textId="77777777" w:rsidTr="00F15414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6F0E296" w14:textId="77777777" w:rsidR="00151DA3" w:rsidRPr="002B7812" w:rsidRDefault="00151DA3" w:rsidP="00151DA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2315467" w14:textId="77777777" w:rsidR="00151DA3" w:rsidRPr="002B7812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B157D1B" w14:textId="77777777" w:rsidR="00F15414" w:rsidRDefault="00F15414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BUSN1103 </w:t>
            </w:r>
          </w:p>
          <w:p w14:paraId="5641651A" w14:textId="4132207F" w:rsidR="00151DA3" w:rsidRPr="00F15414" w:rsidRDefault="00F15414" w:rsidP="00151DA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F15414">
              <w:rPr>
                <w:bCs/>
                <w:sz w:val="20"/>
                <w:szCs w:val="20"/>
              </w:rPr>
              <w:t>Foundations of Global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866852D" w14:textId="77777777" w:rsidR="00D64491" w:rsidRDefault="00D64491" w:rsidP="00D64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BUSN1104 </w:t>
            </w:r>
          </w:p>
          <w:p w14:paraId="4AB51811" w14:textId="300FD302" w:rsidR="00151DA3" w:rsidRPr="0007480E" w:rsidRDefault="00D64491" w:rsidP="00D64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3E2157">
              <w:rPr>
                <w:bCs/>
                <w:sz w:val="20"/>
                <w:szCs w:val="20"/>
              </w:rPr>
              <w:t>Business Communication for change, influence and impact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6581568" w14:textId="77777777" w:rsidR="00D64491" w:rsidRPr="0007480E" w:rsidRDefault="00D64491" w:rsidP="00D64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BUSN1200</w:t>
            </w:r>
          </w:p>
          <w:p w14:paraId="7D5ABDFB" w14:textId="5C3A32C9" w:rsidR="00151DA3" w:rsidRPr="0007480E" w:rsidRDefault="00D64491" w:rsidP="00D6449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Analytics for Business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CAE8F9" w:themeFill="accent5" w:themeFillTint="33"/>
            <w:vAlign w:val="center"/>
          </w:tcPr>
          <w:p w14:paraId="16AAE6A1" w14:textId="77777777" w:rsidR="00D64491" w:rsidRPr="0007480E" w:rsidRDefault="00D64491" w:rsidP="00D64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ECON1000</w:t>
            </w:r>
          </w:p>
          <w:p w14:paraId="6D184FC3" w14:textId="355E5F58" w:rsidR="00151DA3" w:rsidRPr="0007480E" w:rsidRDefault="00D64491" w:rsidP="00D6449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</w:t>
            </w:r>
          </w:p>
        </w:tc>
      </w:tr>
      <w:tr w:rsidR="00151DA3" w14:paraId="3F0C7317" w14:textId="77777777" w:rsidTr="00482ED0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44D4C6C0" w14:textId="77777777" w:rsidR="00151DA3" w:rsidRPr="00983B47" w:rsidRDefault="00151DA3" w:rsidP="00151DA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1D99DB3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2975325" w14:textId="69FA038A" w:rsidR="00151DA3" w:rsidRPr="0007480E" w:rsidRDefault="00482ED0" w:rsidP="00EA6C5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9431EAF" w14:textId="3766AB7C" w:rsidR="00151DA3" w:rsidRPr="0007480E" w:rsidRDefault="00482ED0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8249E43" w14:textId="46014255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4BFD99F" w14:textId="57433B12" w:rsidR="00151DA3" w:rsidRPr="0007480E" w:rsidRDefault="00BB2862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151DA3" w14:paraId="3D2017ED" w14:textId="77777777" w:rsidTr="000050DC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5BA81A63" w14:textId="77777777" w:rsidR="00151DA3" w:rsidRPr="00AD537F" w:rsidRDefault="00151DA3" w:rsidP="00151DA3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5B092A6B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FDE454D" w14:textId="77777777" w:rsidR="00151DA3" w:rsidRDefault="00F232F1" w:rsidP="00F14A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</w:t>
            </w:r>
            <w:r w:rsidR="00482ED0">
              <w:rPr>
                <w:b/>
                <w:sz w:val="20"/>
                <w:szCs w:val="20"/>
              </w:rPr>
              <w:t>2341</w:t>
            </w:r>
          </w:p>
          <w:p w14:paraId="3FD5DBF1" w14:textId="19B74219" w:rsidR="00482ED0" w:rsidRPr="00482ED0" w:rsidRDefault="00482ED0" w:rsidP="00F14A4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104ABE19" w14:textId="6DAE17DB" w:rsidR="00482ED0" w:rsidRPr="0007480E" w:rsidRDefault="000050DC" w:rsidP="00482E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ECON2105</w:t>
            </w:r>
          </w:p>
          <w:p w14:paraId="279796F5" w14:textId="15C5F6E2" w:rsidR="00151DA3" w:rsidRPr="0007480E" w:rsidRDefault="000050DC" w:rsidP="00482ED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Rise of the Global Economy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0293376" w14:textId="1D08D882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55BFE0CE" w14:textId="493DF59C" w:rsidR="00151DA3" w:rsidRPr="0007480E" w:rsidRDefault="00BB2862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151DA3" w14:paraId="48AC8D5C" w14:textId="77777777" w:rsidTr="004C59C3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14:paraId="1342B7D1" w14:textId="77777777" w:rsidR="00151DA3" w:rsidRPr="00983B47" w:rsidRDefault="00151DA3" w:rsidP="00151DA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19282CE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4C947B6" w14:textId="5648B59A" w:rsidR="00151DA3" w:rsidRPr="001D2812" w:rsidRDefault="00D0798E" w:rsidP="001D281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BUSN3001 </w:t>
            </w:r>
            <w:r>
              <w:rPr>
                <w:bCs/>
                <w:sz w:val="20"/>
                <w:szCs w:val="20"/>
              </w:rPr>
              <w:t xml:space="preserve">Business Development Project </w:t>
            </w:r>
            <w:r w:rsidRPr="001B5BC3">
              <w:rPr>
                <w:b/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 xml:space="preserve">WILG3001 </w:t>
            </w:r>
            <w:r>
              <w:rPr>
                <w:bCs/>
                <w:sz w:val="20"/>
                <w:szCs w:val="20"/>
              </w:rPr>
              <w:t>Work Integrated Learning Internship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9E303CA" w14:textId="77777777" w:rsidR="00151DA3" w:rsidRDefault="00D94FA0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MGMT3304</w:t>
            </w:r>
          </w:p>
          <w:p w14:paraId="26B4F26C" w14:textId="1B7C8A3C" w:rsidR="00D94FA0" w:rsidRPr="00D94FA0" w:rsidRDefault="00D94FA0" w:rsidP="00151DA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Applied International Business Strategy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9407203" w14:textId="77777777" w:rsidR="00151DA3" w:rsidRDefault="00821B1A" w:rsidP="001B5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21B1A">
              <w:rPr>
                <w:b/>
                <w:sz w:val="20"/>
                <w:szCs w:val="20"/>
              </w:rPr>
              <w:t>MKTG3312</w:t>
            </w:r>
          </w:p>
          <w:p w14:paraId="486C8297" w14:textId="313E1A4B" w:rsidR="00821B1A" w:rsidRPr="00821B1A" w:rsidRDefault="00821B1A" w:rsidP="001B5BC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Consumers around the world 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309B1620" w14:textId="22D965FF" w:rsidR="00151DA3" w:rsidRPr="0007480E" w:rsidRDefault="00FD6929" w:rsidP="00151D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151DA3" w14:paraId="6382E4B7" w14:textId="77777777" w:rsidTr="00A05356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EB7E40E" w14:textId="77777777" w:rsidR="00151DA3" w:rsidRPr="00526483" w:rsidRDefault="00151DA3" w:rsidP="00151DA3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0FB4BA91" w14:textId="77777777" w:rsidR="00151DA3" w:rsidRDefault="00151DA3" w:rsidP="00151DA3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717300BB" w14:textId="6AAF854E" w:rsidR="00151DA3" w:rsidRPr="00D0798E" w:rsidRDefault="00A05356" w:rsidP="00151DA3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EMPL3301</w:t>
            </w:r>
            <w:r w:rsidR="00D0798E" w:rsidRPr="00D0798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4594C6" w14:textId="505098B2" w:rsidR="00D0798E" w:rsidRPr="0007480E" w:rsidRDefault="00D40847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Globalisation and Work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76DC2BFA" w14:textId="6BA12005" w:rsidR="00151DA3" w:rsidRPr="0007480E" w:rsidRDefault="00A05356" w:rsidP="008C43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910B43C" w14:textId="62BD2982" w:rsidR="00151DA3" w:rsidRPr="0007480E" w:rsidRDefault="00BB2862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FFF4C6" w:themeFill="background2" w:themeFillTint="33"/>
            <w:vAlign w:val="center"/>
          </w:tcPr>
          <w:p w14:paraId="47A36C69" w14:textId="43E0A9F2" w:rsidR="00151DA3" w:rsidRPr="0007480E" w:rsidRDefault="00FD6929" w:rsidP="00151D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14:paraId="2F8D21E3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5459E066" w14:textId="77777777" w:rsidR="00964A20" w:rsidRDefault="00673483" w:rsidP="00964A20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="0089117F" w:rsidRPr="00FE55BE">
        <w:rPr>
          <w:b/>
          <w:bCs/>
          <w:sz w:val="20"/>
          <w:szCs w:val="20"/>
        </w:rPr>
        <w:t>otes</w:t>
      </w:r>
    </w:p>
    <w:p w14:paraId="17028837" w14:textId="77777777" w:rsidR="002532FF" w:rsidRDefault="002532F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14:paraId="573073AE" w14:textId="77777777" w:rsidR="00C54E3A" w:rsidRPr="002532FF" w:rsidRDefault="00C54E3A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14:paraId="78D2C1E9" w14:textId="77777777" w:rsidR="00964A20" w:rsidRPr="00964A20" w:rsidRDefault="0089117F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r:id="rId11" w:history="1">
        <w:r w:rsidRPr="00964A20">
          <w:rPr>
            <w:rStyle w:val="Hyperlink"/>
            <w:sz w:val="18"/>
            <w:szCs w:val="18"/>
          </w:rPr>
          <w:t>Handbook</w:t>
        </w:r>
      </w:hyperlink>
    </w:p>
    <w:p w14:paraId="4865F078" w14:textId="77777777" w:rsidR="00673483" w:rsidRPr="00964A20" w:rsidRDefault="00673483" w:rsidP="00964A20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proofErr w:type="gramStart"/>
      <w:r w:rsidRPr="00964A20">
        <w:rPr>
          <w:sz w:val="18"/>
          <w:szCs w:val="18"/>
        </w:rPr>
        <w:t>Plan ahead</w:t>
      </w:r>
      <w:proofErr w:type="gramEnd"/>
      <w:r w:rsidRPr="00964A20">
        <w:rPr>
          <w:sz w:val="18"/>
          <w:szCs w:val="18"/>
        </w:rPr>
        <w:t xml:space="preserve">! Look at prerequisite requirements in the Handbook. For example: </w:t>
      </w:r>
      <w:r w:rsidR="0089117F" w:rsidRPr="00964A20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="00480C4A" w:rsidRPr="00964A20">
        <w:rPr>
          <w:sz w:val="18"/>
          <w:szCs w:val="18"/>
        </w:rPr>
        <w:t xml:space="preserve"> </w:t>
      </w:r>
      <w:r w:rsidR="00F724D5" w:rsidRPr="00964A20">
        <w:rPr>
          <w:sz w:val="18"/>
          <w:szCs w:val="18"/>
        </w:rPr>
        <w:t>requires</w:t>
      </w:r>
      <w:r w:rsidR="00B20231" w:rsidRPr="00964A20">
        <w:rPr>
          <w:sz w:val="18"/>
          <w:szCs w:val="18"/>
        </w:rPr>
        <w:t xml:space="preserve"> </w:t>
      </w:r>
      <w:r w:rsidR="00E43E9B" w:rsidRPr="00964A20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14:paraId="09C709EF" w14:textId="77777777" w:rsidR="00673483" w:rsidRDefault="00673483" w:rsidP="00673483">
      <w:pPr>
        <w:rPr>
          <w:sz w:val="16"/>
          <w:szCs w:val="16"/>
        </w:rPr>
      </w:pPr>
    </w:p>
    <w:p w14:paraId="33D4BD3D" w14:textId="77777777" w:rsidR="00964A20" w:rsidRDefault="00673483" w:rsidP="00964A20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14:paraId="036C9578" w14:textId="21173798" w:rsidR="008C6531" w:rsidRPr="00526483" w:rsidRDefault="00746B89" w:rsidP="00526483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="00DE15B8">
        <w:rPr>
          <w:sz w:val="18"/>
          <w:szCs w:val="18"/>
        </w:rPr>
        <w:t xml:space="preserve"> </w:t>
      </w:r>
      <w:r w:rsidR="0089117F" w:rsidRPr="00964A20">
        <w:rPr>
          <w:sz w:val="18"/>
          <w:szCs w:val="18"/>
        </w:rPr>
        <w:t xml:space="preserve">on </w:t>
      </w:r>
      <w:hyperlink r:id="rId12" w:history="1">
        <w:r w:rsidR="004F19AF" w:rsidRPr="00964A20">
          <w:rPr>
            <w:rStyle w:val="Hyperlink"/>
            <w:sz w:val="18"/>
            <w:szCs w:val="18"/>
          </w:rPr>
          <w:t>S</w:t>
        </w:r>
        <w:r w:rsidR="0089117F" w:rsidRPr="00964A20">
          <w:rPr>
            <w:rStyle w:val="Hyperlink"/>
            <w:sz w:val="18"/>
            <w:szCs w:val="18"/>
          </w:rPr>
          <w:t>tudent</w:t>
        </w:r>
        <w:r w:rsidR="004F19AF" w:rsidRPr="00964A20">
          <w:rPr>
            <w:rStyle w:val="Hyperlink"/>
            <w:sz w:val="18"/>
            <w:szCs w:val="18"/>
          </w:rPr>
          <w:t xml:space="preserve"> </w:t>
        </w:r>
        <w:r w:rsidR="0089117F" w:rsidRPr="00964A20">
          <w:rPr>
            <w:rStyle w:val="Hyperlink"/>
            <w:sz w:val="18"/>
            <w:szCs w:val="18"/>
          </w:rPr>
          <w:t>Connect</w:t>
        </w:r>
      </w:hyperlink>
      <w:r w:rsidR="0089117F" w:rsidRPr="00964A20">
        <w:rPr>
          <w:sz w:val="18"/>
          <w:szCs w:val="18"/>
        </w:rPr>
        <w:t xml:space="preserve"> and plan your timetable on the </w:t>
      </w:r>
      <w:hyperlink r:id="rId13" w:history="1">
        <w:r w:rsidR="0089117F" w:rsidRPr="00964A20">
          <w:rPr>
            <w:rStyle w:val="Hyperlink"/>
            <w:sz w:val="18"/>
            <w:szCs w:val="18"/>
          </w:rPr>
          <w:t>Class Allocation System (CAS)</w:t>
        </w:r>
      </w:hyperlink>
    </w:p>
    <w:sectPr w:rsidR="008C6531" w:rsidRPr="00526483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39B8" w14:textId="77777777" w:rsidR="00CD785C" w:rsidRDefault="00CD785C">
      <w:r>
        <w:separator/>
      </w:r>
    </w:p>
  </w:endnote>
  <w:endnote w:type="continuationSeparator" w:id="0">
    <w:p w14:paraId="4A76B964" w14:textId="77777777" w:rsidR="00CD785C" w:rsidRDefault="00CD785C">
      <w:r>
        <w:continuationSeparator/>
      </w:r>
    </w:p>
  </w:endnote>
  <w:endnote w:type="continuationNotice" w:id="1">
    <w:p w14:paraId="39AC4EB5" w14:textId="77777777" w:rsidR="00CD785C" w:rsidRDefault="00CD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9AE8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6718AF23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noProof/>
            <w:sz w:val="12"/>
            <w:szCs w:val="12"/>
            <w:lang w:eastAsia="en-AU"/>
          </w:rPr>
          <w:t>CRICOS: 00126G | PRV12169, Australian University</w:t>
        </w:r>
      </w:sdtContent>
    </w:sdt>
  </w:p>
  <w:p w14:paraId="3903D178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853E" w14:textId="77777777" w:rsidR="00CD785C" w:rsidRDefault="00CD785C">
      <w:r>
        <w:separator/>
      </w:r>
    </w:p>
  </w:footnote>
  <w:footnote w:type="continuationSeparator" w:id="0">
    <w:p w14:paraId="1D42CA38" w14:textId="77777777" w:rsidR="00CD785C" w:rsidRDefault="00CD785C">
      <w:r>
        <w:continuationSeparator/>
      </w:r>
    </w:p>
  </w:footnote>
  <w:footnote w:type="continuationNotice" w:id="1">
    <w:p w14:paraId="14506241" w14:textId="77777777" w:rsidR="00CD785C" w:rsidRDefault="00CD7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D94" w14:textId="77777777" w:rsidR="00673483" w:rsidRDefault="00526483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270BF9" wp14:editId="4903305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19192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14CA5F30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0BF9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 filled="f" stroked="f">
              <v:textbox inset="0,0,0,0">
                <w:txbxContent>
                  <w:p w14:paraId="3AD19192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14CA5F30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5075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624E21" wp14:editId="485BF74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5683E39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24E21" id="Text Box 2" o:spid="_x0000_s1027" type="#_x0000_t20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fillcolor="window" strokecolor="#27348b" strokeweight="2pt">
              <v:textbox style="mso-fit-shape-to-text:t">
                <w:txbxContent>
                  <w:p w14:paraId="05683E39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B29DD26" wp14:editId="6015AE6E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1E1D7D" id="Group 54" o:spid="_x0000_s1026" style="position:absolute;margin-left:633.05pt;margin-top:-3.8pt;width:144.8pt;height:49.95pt;z-index:-251660288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0DC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AD1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7BF2"/>
    <w:rsid w:val="000600A2"/>
    <w:rsid w:val="00064F9C"/>
    <w:rsid w:val="000676DD"/>
    <w:rsid w:val="0007480E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171F"/>
    <w:rsid w:val="00151DA3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5BC3"/>
    <w:rsid w:val="001B7742"/>
    <w:rsid w:val="001B7B66"/>
    <w:rsid w:val="001C02FB"/>
    <w:rsid w:val="001C09D8"/>
    <w:rsid w:val="001C1880"/>
    <w:rsid w:val="001D2812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3803"/>
    <w:rsid w:val="00386869"/>
    <w:rsid w:val="00390AAD"/>
    <w:rsid w:val="00395087"/>
    <w:rsid w:val="00397C17"/>
    <w:rsid w:val="003A5134"/>
    <w:rsid w:val="003A60ED"/>
    <w:rsid w:val="003B3584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2157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82ED0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59C3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5787B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0D07"/>
    <w:rsid w:val="00602400"/>
    <w:rsid w:val="00606259"/>
    <w:rsid w:val="006133A2"/>
    <w:rsid w:val="006134C4"/>
    <w:rsid w:val="0061350D"/>
    <w:rsid w:val="00613840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32AE3"/>
    <w:rsid w:val="00641FD2"/>
    <w:rsid w:val="00647D19"/>
    <w:rsid w:val="0065083F"/>
    <w:rsid w:val="0065156E"/>
    <w:rsid w:val="006546C6"/>
    <w:rsid w:val="00654FEC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6DDF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672BC"/>
    <w:rsid w:val="007715C5"/>
    <w:rsid w:val="00774AC8"/>
    <w:rsid w:val="00780689"/>
    <w:rsid w:val="007827B3"/>
    <w:rsid w:val="007901D1"/>
    <w:rsid w:val="00790274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E5446"/>
    <w:rsid w:val="007F10D5"/>
    <w:rsid w:val="007F75C0"/>
    <w:rsid w:val="0080015C"/>
    <w:rsid w:val="00804277"/>
    <w:rsid w:val="00805574"/>
    <w:rsid w:val="00810138"/>
    <w:rsid w:val="00810CFC"/>
    <w:rsid w:val="008118AA"/>
    <w:rsid w:val="008135EA"/>
    <w:rsid w:val="00813BBB"/>
    <w:rsid w:val="00821B1A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4305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0EEF"/>
    <w:rsid w:val="009E115F"/>
    <w:rsid w:val="009E4BED"/>
    <w:rsid w:val="009E7076"/>
    <w:rsid w:val="009F5612"/>
    <w:rsid w:val="009F583E"/>
    <w:rsid w:val="00A006EF"/>
    <w:rsid w:val="00A00F5B"/>
    <w:rsid w:val="00A03A0C"/>
    <w:rsid w:val="00A04C5F"/>
    <w:rsid w:val="00A05356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2862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1CF9"/>
    <w:rsid w:val="00C25BED"/>
    <w:rsid w:val="00C25CF5"/>
    <w:rsid w:val="00C27A81"/>
    <w:rsid w:val="00C30973"/>
    <w:rsid w:val="00C35451"/>
    <w:rsid w:val="00C37D06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24CC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D785C"/>
    <w:rsid w:val="00CE1675"/>
    <w:rsid w:val="00CE4266"/>
    <w:rsid w:val="00CE4716"/>
    <w:rsid w:val="00CE4F16"/>
    <w:rsid w:val="00CE6A34"/>
    <w:rsid w:val="00CE6A39"/>
    <w:rsid w:val="00CF0793"/>
    <w:rsid w:val="00CF1223"/>
    <w:rsid w:val="00CF3952"/>
    <w:rsid w:val="00CF5F10"/>
    <w:rsid w:val="00CF7865"/>
    <w:rsid w:val="00CF7A7E"/>
    <w:rsid w:val="00D05E1D"/>
    <w:rsid w:val="00D0798E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0847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64491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4FA0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7B97"/>
    <w:rsid w:val="00DD4747"/>
    <w:rsid w:val="00DD50AB"/>
    <w:rsid w:val="00DD61CE"/>
    <w:rsid w:val="00DD681C"/>
    <w:rsid w:val="00DE130D"/>
    <w:rsid w:val="00DE15B8"/>
    <w:rsid w:val="00DE5D09"/>
    <w:rsid w:val="00DE7A3C"/>
    <w:rsid w:val="00DF090F"/>
    <w:rsid w:val="00DF41F1"/>
    <w:rsid w:val="00DF5EB2"/>
    <w:rsid w:val="00E04878"/>
    <w:rsid w:val="00E1062F"/>
    <w:rsid w:val="00E114B8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6C54"/>
    <w:rsid w:val="00EA78E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13E9D"/>
    <w:rsid w:val="00F14A49"/>
    <w:rsid w:val="00F15414"/>
    <w:rsid w:val="00F2015F"/>
    <w:rsid w:val="00F21155"/>
    <w:rsid w:val="00F232F1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1DA1"/>
    <w:rsid w:val="00F4269F"/>
    <w:rsid w:val="00F43419"/>
    <w:rsid w:val="00F5121D"/>
    <w:rsid w:val="00F5582D"/>
    <w:rsid w:val="00F653FF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D6929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C6C8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  <w:lang w:val="en-AU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D368-849A-4946-A79E-518D046BD455}"/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Bec West</cp:lastModifiedBy>
  <cp:revision>15</cp:revision>
  <cp:lastPrinted>2020-11-18T23:36:00Z</cp:lastPrinted>
  <dcterms:created xsi:type="dcterms:W3CDTF">2025-06-11T05:06:00Z</dcterms:created>
  <dcterms:modified xsi:type="dcterms:W3CDTF">2025-06-20T01:51:00Z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